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/>
          <w:bCs/>
          <w:color w:val="000000"/>
          <w:szCs w:val="24"/>
        </w:rPr>
        <w:t xml:space="preserve">Publications - Slip </w:t>
      </w:r>
      <w:proofErr w:type="gramStart"/>
      <w:r w:rsidRPr="009B1385">
        <w:rPr>
          <w:rFonts w:ascii="Times New Roman" w:eastAsiaTheme="minorHAnsi" w:hAnsi="Times New Roman" w:cs="Times New Roman"/>
          <w:b/>
          <w:bCs/>
          <w:color w:val="000000"/>
          <w:szCs w:val="24"/>
        </w:rPr>
        <w:t>And</w:t>
      </w:r>
      <w:proofErr w:type="gramEnd"/>
      <w:r w:rsidRPr="009B1385">
        <w:rPr>
          <w:rFonts w:ascii="Times New Roman" w:eastAsiaTheme="minorHAnsi" w:hAnsi="Times New Roman" w:cs="Times New Roman"/>
          <w:b/>
          <w:bCs/>
          <w:color w:val="000000"/>
          <w:szCs w:val="24"/>
        </w:rPr>
        <w:t xml:space="preserve"> Fall Analysis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/>
          <w:bCs/>
          <w:color w:val="000000"/>
          <w:szCs w:val="24"/>
        </w:rPr>
        <w:t>OVERVIEW OF THE LAW APPLICABLE TO SLIP AND FALL CASES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/>
          <w:bCs/>
          <w:color w:val="000000"/>
          <w:szCs w:val="24"/>
        </w:rPr>
        <w:t>AND THE VALIDITY OF INDEMNITY HOLD HARMLESS AGREEMENTS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/>
          <w:bCs/>
          <w:color w:val="000000"/>
          <w:szCs w:val="24"/>
        </w:rPr>
        <w:t>IN THE STATE OF MARYLAND, DISTRICT OF COLUMBIA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/>
          <w:bCs/>
          <w:color w:val="000000"/>
          <w:szCs w:val="24"/>
        </w:rPr>
        <w:t>AND THE COMMONWEALTH OF VIRGINIA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/>
          <w:bCs/>
          <w:color w:val="000000"/>
          <w:szCs w:val="24"/>
        </w:rPr>
        <w:t>I. SLIP AND FALL ANALYSIS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/>
          <w:bCs/>
          <w:color w:val="000000"/>
          <w:szCs w:val="24"/>
        </w:rPr>
        <w:t>A. MARYLAND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 order to make out a prima facie case of negligence in the State of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Maryland, the Plaintiff must prove the following elements: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1. A legal duty on the part of the Defendant to use due care toward the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Plaintiff;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2. A failure by the Defendant to perform the duty he owes to the Plaintiff;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3. Damage to Plaintiff; and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4. That the damage to Plaintiff was caused by the Defendant’s failure to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="00593699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perform a required duty.  </w:t>
      </w:r>
      <w:proofErr w:type="spellStart"/>
      <w:proofErr w:type="gramStart"/>
      <w:r w:rsidRPr="00593699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MacCubbin</w:t>
      </w:r>
      <w:proofErr w:type="spellEnd"/>
      <w:r w:rsidRPr="00593699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Wallace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42 Md. App. 325, 328, 400 A.2d 461, 463, cert. denied,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285 Md. 732 (1979).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As to the standard of care and duties owed to particular Plaintiffs, Maryland,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unlike the District of Columbia, has retained distinctions based upon the status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of the Plaintiff, i.e., is the Plaintiff an invitee, bare licensee or trespasser.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As to invitees, one who by invitation or permission enters the property of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another for purposes connected with or related to business (customers in a store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for example) the property owner is charged with the duty to use ordinary and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reasonable care to keep the premises safe and to protect the invitee from injury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from hazardous conditions which by exercise of ordinary care the invitee would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not have discovered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Caspar v. Chas F. Smith &amp; Son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71 Md. App. 445, 526 A.2d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lastRenderedPageBreak/>
        <w:t>87 (1987).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proofErr w:type="spellStart"/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Pahanish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Western Trails, Inc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69 Md. App. 342, 517 A.2d 1122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(1986).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It is important to note that under Maryland law, a social guest is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considered to be an invitee.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 bare licensee is one who is privileged by consent to enter for his own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purposes or convenience onto the property of another and is owed no duty by the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property owner or occupier except that of not being wantonly injured by the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owner or occupier.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Mech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Hearst </w:t>
      </w:r>
      <w:proofErr w:type="spellStart"/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Grp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64 Md. App. 442, 496 A.2d 1099 (1985).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 trespasser is one who intentionally or without consent enters upon the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property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of another, and again the sole duty owed to such an individual is that of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not wantonly injuring the intruder. The age of the trespasser has no effect on the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duty owed. </w:t>
      </w:r>
      <w:proofErr w:type="spellStart"/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Mondshour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Moore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256 Md. 617, 261 A.2d 482 (1970).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Even in the case of invitees, where the highest standard of care is applicable to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Defendants, the owner or person in charge of a property is not deemed to be an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insurer of Plaintiff’s safety, but has only a duty to provide reasonable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precautions against foreseeable dangers. Thus, a garage owner cannot be held to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 duty to continuously inspect and sand down any leakage of oil and grease from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autos parked in a self-service garage. </w:t>
      </w:r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Lexington Market </w:t>
      </w:r>
      <w:r w:rsidR="004B7947"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v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.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Zappala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197 A.2d 197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(1969).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Furthermore, even if a duty is found to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be owing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on the part of the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property owner, the Plaintiff must demonstrate that the owner had actual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knowledge or should have known of the existence of the dangerous condition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which caused the slip and fall. </w:t>
      </w:r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Western Md. v.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Griffis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253 Md. 643, 253 A.2d 889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(1969).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The duty of a property owner to an invitee extends, however, not only to</w:t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eliminating obvious hazards, but to seeking out and correcting those hazards not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readily apparent to invitees.</w:t>
      </w:r>
      <w:r w:rsidR="004B7947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Western Md. v.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Griffis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</w:t>
      </w:r>
      <w:r w:rsidRPr="004B7947">
        <w:rPr>
          <w:rFonts w:ascii="Times New Roman" w:eastAsiaTheme="minorHAnsi" w:hAnsi="Times New Roman" w:cs="Times New Roman"/>
          <w:bCs/>
          <w:i/>
          <w:color w:val="000000"/>
          <w:szCs w:val="24"/>
        </w:rPr>
        <w:t>supra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With respect to slip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and falls occurring in the produce aisle of a supermarket, the Maryland courts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have held that a store owner has no duty to conduct a continuous inspection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tour. </w:t>
      </w:r>
      <w:proofErr w:type="spellStart"/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Moulden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Greenbelt Consumer Service, Inc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239 Md. 229, 210 A.2d 724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(1965).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Unless the Plaintiff can demonstrate that a dangerous condition existed,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and that the Defendant was aware of the condition or should have been aware of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condition and did not remedy the condition, it is likely that a Defendant’s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verdict will result.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Maryland has declined to adopt a comparative negligence standard, and as a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result, the Plaintiff’s contributory negligence and/or assumption of the risk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continues to be an absolute bar to recovery in actions involving slip and fall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injuries. Regardless of the nature of the duty owed by the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lastRenderedPageBreak/>
        <w:t>defendant, the defenses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of contributory negligence and assumption of the risk are absolute affirmative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defenses to most negligence actions, including actions involving slip and fall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injuries.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Contributory negligence is the failure to take proper precautions for one’s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safety and the failure to conduct oneself in a reasonable manner, </w:t>
      </w:r>
      <w:r w:rsidRPr="00FB0E8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G.C. Murphy</w:t>
      </w:r>
      <w:r w:rsidR="00FB0E8B" w:rsidRPr="00FB0E8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FB0E8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Co. v. Greer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75 Md. App. 399, 541 A.2d 996 (1988), conduct on the part of the</w:t>
      </w:r>
      <w:r w:rsidR="00FB0E8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Plaintiff which “falls below the standard to which he should conform for his own</w:t>
      </w:r>
      <w:r w:rsidR="0052069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protection, and which is a legally contributing cause co-operating with the</w:t>
      </w:r>
      <w:r w:rsidR="0052069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negligence of the Defendant in bringing about the Plaintiff’s harm.” </w:t>
      </w:r>
      <w:proofErr w:type="spellStart"/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Diffendal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</w:t>
      </w:r>
      <w:r w:rsidR="0052069D"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Kash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and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Karry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Service Corporation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74 Md. App. 170, 536 A.2d 1175</w:t>
      </w:r>
      <w:r w:rsidR="0052069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(1988);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Menish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Polinger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Company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277 Md. App. 553, 356 A.2d 233 (1976).</w:t>
      </w:r>
      <w:proofErr w:type="gramEnd"/>
    </w:p>
    <w:p w:rsidR="00572E8F" w:rsidRDefault="00572E8F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Plaintiff is bound to exercise reasonable care, and, therefore, in the slip and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fall context, to circumvent obvious dangers that a reasonably prudent person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would avoid.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Robertson v. Shell Oil Company, 34 Md. App. 339, 369 A.2d 962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(1977).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Although contributory negligence, no matter how slight, bars recover, the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Maryland courts have tempered the severity of this rule in slip and fall cases by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recognizing that “under normal conditions,” store patrons or business invitees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are “entitled to rely on the presumption that the proprietor will see that the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passageways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 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are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unobstructed and reasonably safe.”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G.C. Murphy v. Greet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proofErr w:type="gramStart"/>
      <w:r w:rsidRPr="004B7947">
        <w:rPr>
          <w:rFonts w:ascii="Times New Roman" w:eastAsiaTheme="minorHAnsi" w:hAnsi="Times New Roman" w:cs="Times New Roman"/>
          <w:bCs/>
          <w:i/>
          <w:color w:val="000000"/>
          <w:szCs w:val="24"/>
        </w:rPr>
        <w:t>supra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.;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Diffendal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Kash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and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Karry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Service Corp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., </w:t>
      </w:r>
      <w:r w:rsidRPr="004B7947">
        <w:rPr>
          <w:rFonts w:ascii="Times New Roman" w:eastAsiaTheme="minorHAnsi" w:hAnsi="Times New Roman" w:cs="Times New Roman"/>
          <w:bCs/>
          <w:i/>
          <w:color w:val="000000"/>
          <w:szCs w:val="24"/>
        </w:rPr>
        <w:t>supra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 The courts have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permitted a store patron to exercise less attentiveness and less vigilance than, for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example, a pedestrian on a city street, without finding the patron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contributorily</w:t>
      </w:r>
      <w:proofErr w:type="spellEnd"/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negligent. Nevertheless, if a store patron or business invitee imprudently ignores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a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known hazard, the invitee will likely be adjudged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contributorily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negligent.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With respect to some specific cases, the Maryland courts have applied the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contributory negligence standard in the following ways: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In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Berzups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H.G. Smithy Co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321 A.2d 801, 22 Md. App. 157 (Md. 1974), the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Maryland Court of Appeals was faced with a slip and fall incident involving a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patch of ice.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The Court stated: “In reviewing the testimony, it is patent that Mr.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Berzups</w:t>
      </w:r>
      <w:proofErr w:type="spellEnd"/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saw the ice, which he testified caused his fall, and could have stepped in a spot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which was not covered by ice, thereby avoiding the accident. That he voluntarily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chose an unsafe route is manifest from the testimony quoted at length above.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Having seen the ice, and having decided not to pursue the safer route, he, an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adult in full command of his faculties, cannot now be heard to say that he did not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comprehend the risk. When knowingly faced with a danger, a Plaintiff who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eschews the safe route to voluntarily and knowingly encounter the danger will do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so at his legal and physical peril. “. . . [A] party cannot walk upon an obstruction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which has been made by fault of another and avail himself of it, if he did not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himself use common and ordinary caution.”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Berzups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H.G. Smithy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321 A.2d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801 quoting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Sutton v. Mayor and City Council of Baltimore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214 Md. 581, 584,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136 A.2d 383, 384 (1957).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In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Eyler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Adolph Beauty System, Inc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238 Md. 227, 208 A.2d 609 (1965).</w:t>
      </w:r>
      <w:proofErr w:type="gramEnd"/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Court held that where the Plaintiff (1) knew of the dangerous condition, (2)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saw the dangerous condition as well as a clear strip of sidewalk, (3) saw the clear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strip of sidewalk but did not stop on the clear strip and chose a place to the left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or right, where he might have crossed without stepping on the hazard and, (4)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without hesitating or planning his course elected to step on the hazardous area,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such a Plaintiff was so markedly negligent that he could not as a matter of law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recover damages.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Thus, the Maryland Courts have consistently held that Plaintiffs with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knowledge of a danger who disdain to follow a safe route in order to encounter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an appreciated danger via a different route are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contributorily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negligent as a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matter of law. </w:t>
      </w:r>
      <w:proofErr w:type="spellStart"/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Berzups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Smith Co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., 321 A.2d 801, 804;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Craig v. Greenbelt</w:t>
      </w:r>
      <w:r w:rsidR="00572E8F"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Consumer Services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222 A.2d 838, 244 Md. 95 (Md. 1966).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The contributory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negligence defense assumes that negligence has been established on the part of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Defendant.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With respect to the assumption of the risk defense, it is not necessary that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negligence on the part of the Plaintiff be established. If the Plaintiff knowingly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and voluntarily exposes himself or herself to a patent danger, then that Plaintiff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is barred from recovery by virtue of the doctrine of assumption of risk regardless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of whether Plaintiff was negligent or not. The Maryland courts hold that a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Plaintiff who intentionally endangers himself or herself abandons the right to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maintain a negligence action. </w:t>
      </w:r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Pfaff v. Yacht Basin Co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58 Md. App. 348, 473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A.2d 479 (1984);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Benedette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Baltimore Gas and Electric Co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30 Md. App. 171,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350 A.2d 712 (1976).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Although the defenses of contributory negligence and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assumption of the risk are analogous and often overlap, the latter is more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draconian as it obviates the Defendant’s duty to exercise due care.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To establish assumption of the risk, negligence on the part of the Plaintiff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need not be established. The Plaintiff need only be aware of the risk which she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then voluntarily undertakes.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Shroyer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McNeal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592 A.2d at 1123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 When it is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clear that a person of normal intelligence in the position of the Plaintiff must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have understood the danger, the question of assumption of risk is appropriate for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the court. </w:t>
      </w:r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Gibson v. Beaver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245 Md. 418, 226 A.2d 273 (Md. 1967).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572E8F" w:rsidRDefault="009B1385" w:rsidP="00572E8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572E8F">
        <w:rPr>
          <w:rFonts w:ascii="Times New Roman" w:eastAsiaTheme="minorHAnsi" w:hAnsi="Times New Roman" w:cs="Times New Roman"/>
          <w:b/>
          <w:bCs/>
          <w:color w:val="000000"/>
          <w:szCs w:val="24"/>
        </w:rPr>
        <w:t>I. SLIP AND FALL ANALYSIS</w:t>
      </w:r>
    </w:p>
    <w:p w:rsidR="009B1385" w:rsidRPr="00572E8F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</w:p>
    <w:p w:rsidR="009B1385" w:rsidRPr="00572E8F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572E8F">
        <w:rPr>
          <w:rFonts w:ascii="Times New Roman" w:eastAsiaTheme="minorHAnsi" w:hAnsi="Times New Roman" w:cs="Times New Roman"/>
          <w:b/>
          <w:bCs/>
          <w:color w:val="000000"/>
          <w:szCs w:val="24"/>
        </w:rPr>
        <w:t>B. DISTRICT OF COLUMBIA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 the District of Columbia, a Plaintiff can recover from the Defendant,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landowner, only if the landowner has breached some duty which he owed to the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Plaintiff. They duty which the owner of land owes to a person upon that land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varies according to whether that person is a trespasser or lawfully upon the land.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According to the law in the District of Columbia, a trespasser is one who</w:t>
      </w:r>
      <w:r w:rsidR="004B7947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enters or remains on the land or premises of another without invitation, privilege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or consent. Generally, a landowner owes no duty to a trespasser with respect to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the management of the premises. According to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Firfer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United States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93 U.S.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App. D.C. 216, 208 F. 2d 524 (1953), trespassers may only recover from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landowners for injuries that were wil</w:t>
      </w:r>
      <w:r w:rsidR="004B7947">
        <w:rPr>
          <w:rFonts w:ascii="Times New Roman" w:eastAsiaTheme="minorHAnsi" w:hAnsi="Times New Roman" w:cs="Times New Roman"/>
          <w:bCs/>
          <w:color w:val="000000"/>
          <w:szCs w:val="24"/>
        </w:rPr>
        <w:t>l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ful, or that resulted from maintenance of a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hidden engine of destruction. (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i.e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 a trap) However, unlike many other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jurisdictions, the District of Columbia no longer distinguishes among licensees,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quests or invitees. See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Smith v.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Arbaugh’s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Restaurant, Inc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152 U.S. App. D.C.</w:t>
      </w:r>
      <w:r w:rsidR="00572E8F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86, 469 F.2d 97 (1972), cert. denied, 412 US 939 (1973), and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Washington</w:t>
      </w:r>
      <w:r w:rsidR="00572E8F"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Metropolitan Area Transit Authority v. Ward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433 A.2d 1072 (DC App. 1981).</w:t>
      </w:r>
    </w:p>
    <w:p w:rsidR="007E6E3D" w:rsidRPr="009B1385" w:rsidRDefault="007E6E3D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Therefore, much of the law that has dealt with the distinctions between licensees,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quests or invitees is no longer applicable, and now the District of Columbia takes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 general approach covering all three. Thus, in analyzing a slip and fall case it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must first be determined whether or not the potential Plaintiff was lawfully upon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land.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Even when there is no alternative route available to a Plaintiff, her choice of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walking in an area where she has knowledge of and appreciate a hazard, (for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example walking in a garage that she knew was wet and slippery) would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constitute assumption of the risk barring Plaintiff from any recovery. </w:t>
      </w:r>
      <w:proofErr w:type="spellStart"/>
      <w:proofErr w:type="gram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Benedette</w:t>
      </w:r>
      <w:proofErr w:type="spellEnd"/>
      <w:r w:rsidR="007E6E3D"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v. Baltimore Gas and Electric Co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350 A.2d 712, 30 Md. App. 171 (Md. 1976).</w:t>
      </w:r>
      <w:proofErr w:type="gramEnd"/>
    </w:p>
    <w:p w:rsidR="007E6E3D" w:rsidRDefault="007E6E3D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Even if the Plaintiff has no other route available which would have avoided the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hazard, by choosing to continue on a dangerous path and traverse the hazard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such behavior amounts to assumption of risk, </w:t>
      </w:r>
      <w:proofErr w:type="spellStart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Benedette</w:t>
      </w:r>
      <w:proofErr w:type="spellEnd"/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Baltimore Gas and</w:t>
      </w:r>
      <w:r w:rsidR="007E6E3D"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Electric Co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</w:t>
      </w:r>
      <w:r w:rsidR="004B7947" w:rsidRPr="004B7947">
        <w:rPr>
          <w:rFonts w:ascii="Times New Roman" w:eastAsiaTheme="minorHAnsi" w:hAnsi="Times New Roman" w:cs="Times New Roman"/>
          <w:bCs/>
          <w:i/>
          <w:color w:val="000000"/>
          <w:szCs w:val="24"/>
        </w:rPr>
        <w:t>s</w:t>
      </w:r>
      <w:r w:rsidRPr="004B7947">
        <w:rPr>
          <w:rFonts w:ascii="Times New Roman" w:eastAsiaTheme="minorHAnsi" w:hAnsi="Times New Roman" w:cs="Times New Roman"/>
          <w:bCs/>
          <w:i/>
          <w:color w:val="000000"/>
          <w:szCs w:val="24"/>
        </w:rPr>
        <w:t>upra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See also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: </w:t>
      </w:r>
      <w:r w:rsidRPr="004B7947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Burke v. Williams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223 A.2d 187, 244 Md. 1545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(Md. 1966), and Plaintiff would be barred from any recovery against Defendant.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According to the District of Columbia, a person lawfully upon the land is one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who goes upon the land of another for the purpose of carrying on some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transaction either for the benefit of himself and the land owner, or for the benefit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of the landowner alone or one who has been invited upon the land by the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landowner or occupier, but not for the benefit of the landowner or occupier. This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invitation may occur either by some affirmative act on the part of the landowner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or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occupier,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or by appearances which would justify a reasonable person in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believing that such landowner or occupier would give his consent to the presence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of the land of that particular person, or of the public in general.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Assuming that the situation involved a person lawfully upon the land, a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landowner owes to a person lawfully upon the land, the duty to exercise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reasonable and ordinary care under the circumstances to keep the premises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reasonably safe and to avoid injuring such person. In addition, he owes these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persons the duty to repair dangerous conditions which are known to the owner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or which are discoverable in the exercise of ordinary care and which would not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be discovered by the person lawfully upon the land. Alternatively, if a landowner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does not repair such dangerous conditions, then he has a duty to warn a person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lawfully upon the land of the existence of such dangerous conditions. </w:t>
      </w:r>
      <w:r w:rsidRPr="000248A8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See</w:t>
      </w:r>
      <w:r w:rsidRP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0248A8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Holland</w:t>
      </w:r>
      <w:r w:rsidR="007E6E3D" w:rsidRPr="000248A8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0248A8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v. Baltimore Ohio Company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431 A.2d 597 (D.C. 1981) </w:t>
      </w:r>
      <w:proofErr w:type="spellStart"/>
      <w:r w:rsidRPr="000248A8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andWashington</w:t>
      </w:r>
      <w:proofErr w:type="spellEnd"/>
      <w:r w:rsidR="007E6E3D" w:rsidRPr="000248A8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0248A8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Metropolitan Area Transit Authority v. Ward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433 A.2d 1072 (D.C. 1981). It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should be noted that in the event that the potential Defendant is not the owner of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land and/or premises where the accident occurred, if the Plaintiff can show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that he was the occupant thereof, and in the possession thereof, his rights and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duties toward the Plaintiff are the same as if he had been both the lawful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occupant and the owner of the property. </w:t>
      </w:r>
      <w:r w:rsidRPr="000248A8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See Clark v. O’Connor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140 U.S. App.</w:t>
      </w:r>
      <w:r w:rsidR="007E6E3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D.C.,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435 F.2d 104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(1970).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With regard to the duty on behalf of landowner to exercise reasonable and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ordinary care, according to the law in the District of Columbia, it is well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established that the owner of property into which members of the public are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permitted is not an insurer of their safety, but that he owes them the duty of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exercising reasonable care to keep the property in a safe condition for their use.</w:t>
      </w:r>
    </w:p>
    <w:p w:rsidR="000248A8" w:rsidRPr="009B1385" w:rsidRDefault="000248A8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Therefore, in order for the Plaintiff to recover in a slip and fall case, the Plaintiff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must prove be a preponderance of the evidence that an unreasonably safe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condition caused him to fall and that this condition was caused by the Defendant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or by one of its employees or that the Defendant or one of its employees had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either actual or constructive notices of the condition in time to have taken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precautions against it. According to the District of Columbia, actual notice has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been defined to mean that the Defendant or one of its employees had either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actual or constructive notice of the condition in time to have taken precautions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against it. According to the District of Columbia, actual notice has been defined</w:t>
      </w:r>
      <w:r w:rsidR="000248A8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to mean that the Defendant knew of the existence of the condition.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Constructive notice means that the condition had existed for a significant length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of time so that the Defendant in the exercise of reasonable care should have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known of its presence in time to take action to guard against it. </w:t>
      </w:r>
      <w:r w:rsidRPr="00871382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See</w:t>
      </w:r>
      <w:r w:rsidRPr="00593699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871382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ITT</w:t>
      </w:r>
      <w:r w:rsidR="00871382" w:rsidRPr="00871382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871382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Continental Baking Company v. Ellison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370 A.2d 1353 (D.C. 1977), and </w:t>
      </w:r>
      <w:r w:rsidRPr="00871382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Smith v.</w:t>
      </w:r>
      <w:r w:rsidR="00871382" w:rsidRPr="00871382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871382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Safeway Stores, Inc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298 A.2d 214 (D.C. 1972).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Essentially, slip and fall cases center around the concept of negligence. In the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District of Columbia, negligence has been defined as the theory to exercise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ordinary care. Thus, negligence is doing something the person using ordinary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care would not do, or not doing something a person using ordinary care would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do. Ordinary care means that caution, attention or skill a reasonable person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would use under similar circumstances. </w:t>
      </w:r>
      <w:r w:rsidRPr="00541851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See</w:t>
      </w:r>
      <w:r w:rsidRPr="00593699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541851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McCord v. Green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362 A.2d 720</w:t>
      </w:r>
      <w:proofErr w:type="gramEnd"/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(1976). It is important to note that in the District of Columbia, the law does not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recognize comparative negligence. Therefore, the law forbids any jury to classify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negligence into any degree or grades or to compare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one person(s) negligence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with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another. Therefore, Plaintiff cannot recover if his negligence is the proximate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cause of his injury. In cases such as these, the Defendant has the burden of</w:t>
      </w:r>
      <w:r w:rsidR="00871382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proving the Plaintiff’s negligence was the cause of the Plaintiff’s injury.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According to the law in the District of Columbia, there are certain defenses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available to a Defendant in a suit involving a slip and fall claim. These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are,</w:t>
      </w:r>
      <w:proofErr w:type="gramEnd"/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contributory negligence and assumption of the risk. Contributory negligence has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been defined as a failure to act with prudence demanded of ordinary reasonable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persons under like circumstances. See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Stagger v. </w:t>
      </w:r>
      <w:proofErr w:type="spellStart"/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Schnieder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494 A.2d 1037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(D.C.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App. 1985). Assumption of the risk is a voluntary assumption of a known risk.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See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District of Columbia v. Mitchell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533 A.2d 629 (D.C. App. 1987).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However, it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should be noted that although contributory negligence is an absolute bar to</w:t>
      </w:r>
      <w:r w:rsid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recovery if his negligence was a substantial facto</w:t>
      </w:r>
      <w:r w:rsidR="00F32F8D">
        <w:rPr>
          <w:rFonts w:ascii="Times New Roman" w:eastAsiaTheme="minorHAnsi" w:hAnsi="Times New Roman" w:cs="Times New Roman"/>
          <w:bCs/>
          <w:color w:val="000000"/>
          <w:szCs w:val="24"/>
        </w:rPr>
        <w:t>r causing his injury. Therefore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if the Plaintiff’s negligence was the proximate cause of his injury, recovery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is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arred</w:t>
      </w:r>
      <w:proofErr w:type="spellEnd"/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 See </w:t>
      </w:r>
      <w:proofErr w:type="spellStart"/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Sinia</w:t>
      </w:r>
      <w:proofErr w:type="spellEnd"/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</w:t>
      </w:r>
      <w:proofErr w:type="spellStart"/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Polinger</w:t>
      </w:r>
      <w:proofErr w:type="spellEnd"/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Co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.,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498 A.2d 520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(D.C. App. 1985).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Essentially, the question as to contributory negligence or assumption of the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risk is a question to be decided by a jury. However, it has been held that the mere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fact that a person was not paying attention is not tantamount to contributory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negligence. In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ITT Continental Co. v. Ellison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370 A.2d 1353 (D.C. App. 1977), a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supermarket patron tripped over trays which were located in the extreme end of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the aisle. It was held that he patron was not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contributorily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negligent merely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because she was not looking down as she entered the aisle where the trays were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located.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Regarding slip and fall cases with respect to landlord/tenant situations,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essentially the landlord, like a landowner, owes a duty to those persons lawfully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using approaches and entrances over which owner has control to exercise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ordinary care, after notice or reasonable opportunity for notice, to keep them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free from either temporary or permanent conditions of danger.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See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W. Simpson</w:t>
      </w:r>
      <w:r w:rsidR="00541851"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Company v. Langley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76 U.S. App. D.C. 365, 131 F.2d 869 (1943).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In addition,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owners of apartment house who have retained the exclusive control of its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common approaches, is, after notice, bound to exercise ordinary care so that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persons lawfully using them may be safeguarded against conditions, whether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permanent or temporary, which make them dangerous to tenants or their guests;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and it is immaterial that particular condition giving rise to possible danger is a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result of national accumulation of snow and ice. See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Lord v. </w:t>
      </w:r>
      <w:proofErr w:type="spellStart"/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Lencshire</w:t>
      </w:r>
      <w:proofErr w:type="spellEnd"/>
      <w:r w:rsidRPr="00F32F8D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, Ltd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106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U.S. App. D.C. 328,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271 F.2d 557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(C.A.D. 1960). Thus, the same principals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regarding slip and fall cases that deal with landowners apply equally to</w:t>
      </w:r>
      <w:r w:rsidR="00541851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landlord/tenant situations.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E343A3" w:rsidRDefault="009B1385" w:rsidP="00E343A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E343A3">
        <w:rPr>
          <w:rFonts w:ascii="Times New Roman" w:eastAsiaTheme="minorHAnsi" w:hAnsi="Times New Roman" w:cs="Times New Roman"/>
          <w:b/>
          <w:bCs/>
          <w:color w:val="000000"/>
          <w:szCs w:val="24"/>
        </w:rPr>
        <w:t>I. SLIP AND FALL ANALYSIS</w:t>
      </w:r>
    </w:p>
    <w:p w:rsidR="009340F2" w:rsidRPr="00E343A3" w:rsidRDefault="009340F2" w:rsidP="00E343A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</w:p>
    <w:p w:rsidR="009B1385" w:rsidRPr="00E343A3" w:rsidRDefault="009B1385" w:rsidP="00E343A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E343A3">
        <w:rPr>
          <w:rFonts w:ascii="Times New Roman" w:eastAsiaTheme="minorHAnsi" w:hAnsi="Times New Roman" w:cs="Times New Roman"/>
          <w:b/>
          <w:bCs/>
          <w:color w:val="000000"/>
          <w:szCs w:val="24"/>
        </w:rPr>
        <w:t>C. VIRGINIA:</w:t>
      </w:r>
    </w:p>
    <w:p w:rsidR="009340F2" w:rsidRPr="00E343A3" w:rsidRDefault="009340F2" w:rsidP="00E343A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</w:p>
    <w:p w:rsidR="009B1385" w:rsidRPr="00E343A3" w:rsidRDefault="00E343A3" w:rsidP="00E343A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Cs w:val="24"/>
        </w:rPr>
        <w:tab/>
      </w:r>
      <w:r w:rsidR="009B1385" w:rsidRPr="00E343A3">
        <w:rPr>
          <w:rFonts w:ascii="Times New Roman" w:eastAsiaTheme="minorHAnsi" w:hAnsi="Times New Roman" w:cs="Times New Roman"/>
          <w:b/>
          <w:bCs/>
          <w:color w:val="000000"/>
          <w:szCs w:val="24"/>
        </w:rPr>
        <w:t>I. INTRODUCTION</w:t>
      </w:r>
    </w:p>
    <w:p w:rsidR="009340F2" w:rsidRPr="00E343A3" w:rsidRDefault="009340F2" w:rsidP="00E343A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Slip and fall cases generally arise out of injuries which occur in inclement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weather conditions, objects or spills that are on the floor and defects located on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premises. Most often suit is brought against the owner/occupier of the land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where the slip and fall occurred.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 Virginia, there are three (3) categories of persons and depending on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status of the person, certain duties attach to the owner/occupier. The three (3)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categories and a brief description of each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is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provided as follows: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F32F8D" w:rsidRDefault="009B1385" w:rsidP="00F32F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F32F8D">
        <w:rPr>
          <w:rFonts w:ascii="Times New Roman" w:eastAsiaTheme="minorHAnsi" w:hAnsi="Times New Roman" w:cs="Times New Roman"/>
          <w:b/>
          <w:bCs/>
          <w:color w:val="000000"/>
          <w:szCs w:val="24"/>
        </w:rPr>
        <w:t>Trespasser: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A trespasser is one who goes onto the premises of another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without any legal right to do so and without the invitation, authority or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consent of the occupant if the premises [intentionally fails to leave the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premises of another after being requested to do so by the occupant].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</w:p>
    <w:p w:rsidR="009B1385" w:rsidRPr="00F32F8D" w:rsidRDefault="009B1385" w:rsidP="00F32F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F32F8D">
        <w:rPr>
          <w:rFonts w:ascii="Times New Roman" w:eastAsiaTheme="minorHAnsi" w:hAnsi="Times New Roman" w:cs="Times New Roman"/>
          <w:b/>
          <w:bCs/>
          <w:color w:val="000000"/>
          <w:szCs w:val="24"/>
        </w:rPr>
        <w:t>Licensee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: A licensee is one who enters the premises of another for his own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convenience, benefit or pleasure, with the knowledge and express or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implied consent of the occupant. [A social guest is a licensee].</w:t>
      </w:r>
    </w:p>
    <w:p w:rsidR="009B1385" w:rsidRPr="00F32F8D" w:rsidRDefault="009B1385" w:rsidP="00F32F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F32F8D">
        <w:rPr>
          <w:rFonts w:ascii="Times New Roman" w:eastAsiaTheme="minorHAnsi" w:hAnsi="Times New Roman" w:cs="Times New Roman"/>
          <w:b/>
          <w:bCs/>
          <w:color w:val="000000"/>
          <w:szCs w:val="24"/>
        </w:rPr>
        <w:t>Invitee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: An invitee is one who visits premises lawfully at the express or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implied invitation of the occupant. He is one who visits other than for a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social purpose or for his own convenience. An express invitation is one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made directly or indirectly by spoken or written words to come on the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premises. An implied invitation is one made by opening the premises to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others for a particular purpose. It is important to remember, however,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that issues of notice, status of the Plaintiff, open and obvious dangers,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patent versus latent defects, the standard of a “reasonable man,”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contributory negligence and assumption of the risk are ordinarily</w:t>
      </w:r>
      <w:r w:rsidR="00E343A3"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F32F8D">
        <w:rPr>
          <w:rFonts w:ascii="Times New Roman" w:eastAsiaTheme="minorHAnsi" w:hAnsi="Times New Roman" w:cs="Times New Roman"/>
          <w:bCs/>
          <w:color w:val="000000"/>
          <w:szCs w:val="24"/>
        </w:rPr>
        <w:t>questions of fact, and therefore matters for the jury.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10627F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10627F">
        <w:rPr>
          <w:rFonts w:ascii="Times New Roman" w:eastAsiaTheme="minorHAnsi" w:hAnsi="Times New Roman" w:cs="Times New Roman"/>
          <w:b/>
          <w:bCs/>
          <w:color w:val="000000"/>
          <w:szCs w:val="24"/>
        </w:rPr>
        <w:t>II. Status of the Plaintiff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 invitee has the right to assume that the premises are reasonably safe for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his visit. This assumption does not apply, however, if the invitee knows or should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know of an unsafe condition or if the invitee uses the premises in a manner that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exceeds the scope of the invitation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1]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 occupant’s general duties to an invitee are to use ordinary care to have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premises in a reasonably safe condition for an invitee’s use consistent with an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invitation, but an occupant does not guarantee an invitee’s safety. An occupant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owes an invitee the duty to use ordinary care to warn an invitee of any unsafe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condition which the occupant knows, or through the use of ordinary care, should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know about. An occupant has no duty to warn an invitee of an unsafe condition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which is open and obvious to a person using ordinary care for his own safety. If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 occupant fails to perform either or both of these duties, then he is negligent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2]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 occupant also has the duty to an invitee to use ordinary care to remove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foreign objects from the floor, if the foreign substance or object creates an unsafe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condition, within a reasonable time after he knew or should have known it was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there, regardless of how it got there. If an occupant fails to perform this duty, 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is negligent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3]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An occupant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of a premises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owes a duty to a licensee on the premises to use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ordinary care in his activities or conduct to avoid injury to the licensee. If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occupant fails to perform this duty he is negligent.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[4]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 occupant of a premises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has a duty to a licensee regarding the condition of the premises by the use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ordinary care and where: (1) the occupant knows or should know of an unsafe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condition on his premises; (2) knows or should know that it involves an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unreasonable risk or harm to a licensee; (3) knows or should know that a licensee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will not discover or realize the unsafe condition; and (4) the licensee does not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know or have reason to know of the unsafe condition or the risk involved, then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occupant has the duty to use ordinary care either to make the condition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reasonably safe or a duty to warn the licensee of the unsafe condition.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[5]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 occupant’s duty to a trespasser is not to willfully or wantonly cause injury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to a trespasser and thus, there exists a duty to warn the trespasser if he knows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presence of the trespasser and knows [or by the use of ordinary care should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know] of a danger not open and obvious to the trespasser. If an occupant fails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perform this duty, then he is negligent. An occupant of premises has no duty to a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trespasser to keep his premises, however, in a safe and suitable condition for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trespasser’s use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6]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An occupant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of a commercial premises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has a duty to an invitee to use ordinary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care to remove snow and ice from outdoor entrance walks such as steps, porches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and stoops within a reasonable time after the end of the storm. If an occupant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fails to perform this duty, and an invitee slips and falls, then the occupant will be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held liable for his negligence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7]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duty of an owner or occupier of a private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residence to maintain his premises is a condition which is reasonably safe for an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invitee does not extend to warning of, or removing a danger that is open and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obvious.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10627F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10627F">
        <w:rPr>
          <w:rFonts w:ascii="Times New Roman" w:eastAsiaTheme="minorHAnsi" w:hAnsi="Times New Roman" w:cs="Times New Roman"/>
          <w:b/>
          <w:bCs/>
          <w:color w:val="000000"/>
          <w:szCs w:val="24"/>
        </w:rPr>
        <w:t>III. Landlord and Tenant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 landlord who knows that a dangerous condition exists has a duty to warn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tenant about it before the tenant enters into possession of the premises.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landlord does not have this duty when the condition is open and obvious or if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tenant knew of the condition or should have discovered it by making a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reasonable inspection. If the landlord fails to perform this duty then he is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negligent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8]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 landlord also has a duty to a tenant to use ordinary care to keep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common areas safe. Common areas are defined as those parts of the premises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which the landlord retains control over and which may be used by all of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tenants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9]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If the landlord used ordinary care to inspect the premises and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inspection failed to disclose the defect, this may be a defense for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landlord.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[10]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 landlord who undertakes to make repairs has a duty to a tenant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to use ordinary care in making them. This duty applies whether repairs are made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voluntarily or not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11]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 landlord has a duty to use ordinary care to remove ice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and snow from outdoor entrance walks (inclusive of steps, porches and stoops)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under his control within a reasonable time after the end of the storm. If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landlord fails to perform this duty, he is negligent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12]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</w:p>
    <w:p w:rsidR="009B1385" w:rsidRPr="0010627F" w:rsidRDefault="009B1385" w:rsidP="0010627F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10627F">
        <w:rPr>
          <w:rFonts w:ascii="Times New Roman" w:eastAsiaTheme="minorHAnsi" w:hAnsi="Times New Roman" w:cs="Times New Roman"/>
          <w:b/>
          <w:bCs/>
          <w:color w:val="000000"/>
          <w:szCs w:val="24"/>
        </w:rPr>
        <w:t>IV. Hotels and Motels</w:t>
      </w:r>
    </w:p>
    <w:p w:rsidR="009340F2" w:rsidRPr="009B1385" w:rsidRDefault="009340F2" w:rsidP="0010627F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operator of a hotel has a duty to use ordinary care and diligence in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providing honest employees and to take every reasonable precaution to protect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its guests and their property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13]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If the operator of the hotel fails to perform this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duty, then he is negligent.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CD73C4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CD73C4">
        <w:rPr>
          <w:rFonts w:ascii="Times New Roman" w:eastAsiaTheme="minorHAnsi" w:hAnsi="Times New Roman" w:cs="Times New Roman"/>
          <w:b/>
          <w:bCs/>
          <w:color w:val="000000"/>
          <w:szCs w:val="24"/>
        </w:rPr>
        <w:t>V. Contributory Negligence Defense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Under Virginia law, contributory negligence is a complete bar to an action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based on negligence.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[14]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As such, a Plaintiff who is aware of a danger and fails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exercise reasonable care to avoid injury is generally precluded from recovering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against the person who created the peril.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[15]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 Virginia, the negligence of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parties is not compared and any negligence of the Plaintiff which is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proximate cause of the accident will bar recovery.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[16]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essence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contributory negligence is carelessness, while the essence of assumption of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risk is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venturousness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[17]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Contributory negligence involves an objective test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whether the Plaintiff failed to act as a reasonable person would have acted for his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safety under the circumstances.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[18]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FF"/>
          <w:szCs w:val="24"/>
        </w:rPr>
      </w:pPr>
    </w:p>
    <w:p w:rsidR="009B1385" w:rsidRPr="00CD73C4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CD73C4">
        <w:rPr>
          <w:rFonts w:ascii="Times New Roman" w:eastAsiaTheme="minorHAnsi" w:hAnsi="Times New Roman" w:cs="Times New Roman"/>
          <w:b/>
          <w:bCs/>
          <w:color w:val="000000"/>
          <w:szCs w:val="24"/>
        </w:rPr>
        <w:t xml:space="preserve">VI. Recent Virginia Case Law on Slip and </w:t>
      </w:r>
      <w:proofErr w:type="gramStart"/>
      <w:r w:rsidRPr="00CD73C4">
        <w:rPr>
          <w:rFonts w:ascii="Times New Roman" w:eastAsiaTheme="minorHAnsi" w:hAnsi="Times New Roman" w:cs="Times New Roman"/>
          <w:b/>
          <w:bCs/>
          <w:color w:val="000000"/>
          <w:szCs w:val="24"/>
        </w:rPr>
        <w:t>Fall</w:t>
      </w:r>
      <w:proofErr w:type="gramEnd"/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CD73C4" w:rsidRDefault="00CD73C4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Cs w:val="24"/>
        </w:rPr>
        <w:tab/>
        <w:t>a.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="009B1385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Knowledge of Defendant of Defect or Danger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: 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Under Virginia law, an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invitee who is injured in a fall on the premises of another has the burden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proving negligence by a preponderance of evidence and must show that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owner or occupant either knew or should have known, by exercise of reasonable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care and diligence, of the defect or unsafe condition. </w:t>
      </w:r>
      <w:proofErr w:type="spellStart"/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Gauldin</w:t>
      </w:r>
      <w:proofErr w:type="spellEnd"/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Virginia Winn-</w:t>
      </w:r>
      <w:r w:rsidR="00E343A3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-</w:t>
      </w:r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Dixie, Inc.,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370 F.2d 167 (C.A. Va. 1966 - Evidence in invitee’s action against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supermarket owner to recover for injuries sustained in a fall on the premises did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not support a finding that the store owner, in exercise of reasonable care and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diligence, should have known of the presence of a radish or other hazard in store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aisle.); </w:t>
      </w:r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Winn-Dixie Stores, Inc. v. Parker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396 S.E. 2d 649, 240 Va. 180 (1990 -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Patron failed to establish that store placed a bean on the floor during his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mopping where nothing in the record suggested that anyone connected with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store placed the bean on the floor. Moreover, the evidence did not show that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store worker missed the bean when he mopped the produce section, and the jury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could not have inferred that worker missed the bean simply because it was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present on the floor where the patron fell.).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CD73C4" w:rsidRDefault="00CD73C4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CD73C4">
        <w:rPr>
          <w:rFonts w:ascii="Times New Roman" w:eastAsiaTheme="minorHAnsi" w:hAnsi="Times New Roman" w:cs="Times New Roman"/>
          <w:bCs/>
          <w:color w:val="000000"/>
          <w:szCs w:val="24"/>
        </w:rPr>
        <w:tab/>
      </w:r>
      <w:r>
        <w:rPr>
          <w:rFonts w:ascii="Times New Roman" w:eastAsiaTheme="minorHAnsi" w:hAnsi="Times New Roman" w:cs="Times New Roman"/>
          <w:bCs/>
          <w:color w:val="000000"/>
          <w:szCs w:val="24"/>
        </w:rPr>
        <w:t>b</w:t>
      </w:r>
      <w:r w:rsidR="009B1385" w:rsidRPr="00CD73C4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="009B1385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Duty to Observe Defects and Precautions </w:t>
      </w:r>
      <w:proofErr w:type="gramStart"/>
      <w:r w:rsidR="009B1385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Against</w:t>
      </w:r>
      <w:proofErr w:type="gramEnd"/>
      <w:r w:rsidR="009B1385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Known</w:t>
      </w:r>
      <w:r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="009B1385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Dangers: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Evidence at trial demonstrated that the snow covered conditions of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private resident’s driveway and steepness of the driveway’s incline were as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obvious to a farmer delivering eggs, who slipped and fell on the driveway, as they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were to the occupiers. The Court held that the lack of evidence of a latent defect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or hidden condition of the driveway, known to the occupiers but not apparent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invitee, was insufficient to demonstrate primary negligence on occupier’s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part. </w:t>
      </w:r>
      <w:proofErr w:type="gramStart"/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Tate v. Rice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227 Va. 341, 315 S.E. 2d 385 (1984).</w:t>
      </w:r>
      <w:proofErr w:type="gramEnd"/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CD73C4" w:rsidRDefault="00CD73C4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Cs w:val="24"/>
        </w:rPr>
        <w:tab/>
        <w:t>c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 </w:t>
      </w:r>
      <w:r w:rsidR="009B1385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Degrees of Proof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: 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 order to establish the defense of the janitor’s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contributory negligence in slipping on snow or ice on a walkway outside of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building as a matter of law, the building owner would be required to establish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that the janitor perceived and appreciated the danger before embarking on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walkway, and that the danger would be so obvious and patent to be a person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exercising reasonable care for his own safety. </w:t>
      </w:r>
      <w:proofErr w:type="gramStart"/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King v. Bondurant Development</w:t>
      </w:r>
      <w:r w:rsidR="00E343A3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Corp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227 Va. 206, 315 S.E. 2d 390 (1984).</w:t>
      </w:r>
      <w:proofErr w:type="gramEnd"/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CD73C4" w:rsidRDefault="00CD73C4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Cs w:val="24"/>
        </w:rPr>
        <w:tab/>
        <w:t>d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 </w:t>
      </w:r>
      <w:r w:rsidR="009B1385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Proximate Cause of Injury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: 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Evidence in an action against the owner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 office building supported a jury verdict for the invitee who slipped and fell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despite the building owner’s claim that the invitee/Plaintiff failed to produce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direct evidence of what caused the Plaintiff to fall or any evidence that the floor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was unsafe, dangerous, hazardous, or that such condition proximately caused her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injuries. The Court in upholding the jury verdict for the invitee said that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Plaintiff’s evidence that rain had been falling for a protracted period of time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before the accident and people had been entering the building all night and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invitee testified that she slipped on something very slippery was sufficient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uphold the jury verdict. </w:t>
      </w:r>
      <w:proofErr w:type="spellStart"/>
      <w:proofErr w:type="gramStart"/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Fobbs</w:t>
      </w:r>
      <w:proofErr w:type="spellEnd"/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Webb Bldg. Ltd. Partnership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232 Va. 227, 349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S.E. 2d 355 (1986).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Property owners were not liable for injuries sustained in a fall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by a neighbor on their porch, in absence of showing that owners knew of alleged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unsafe condition or that the condition had existed for such a length of time that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 the exercise of ordinary care they [owners] should have known it.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CD73C4" w:rsidRDefault="00CD73C4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Cs w:val="24"/>
        </w:rPr>
        <w:tab/>
        <w:t>e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 </w:t>
      </w:r>
      <w:r w:rsidR="009B1385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Duty to Observe And Avoid Danger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: 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Person who trips and falls over an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open and obvious condition or defect is guilty of contributory negligence as a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matter of law. </w:t>
      </w:r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Scott v. City of Lynchburg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241 Va. 64, 339 S.E. 2d 809 (1991);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Store customer was a business invitee who had a duty to be aware of open and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obvious dangers. </w:t>
      </w:r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Clark v. Chapman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238 Va. 655, 385 S.E. 2d 885 (1989); Even if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Plaintiff was a bare licensee on the Defendant’s premises, the Plaintiff was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contributorily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negligent in advancing at night into an unlighted field with which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he was unfamiliar, from paved parking lot where, instead of returning by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same route which he had just traveled in safety, Plaintiff elected to take a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shortcut into an unknown area and in doing so attempted to wade through brush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and fell over a chain obscured therein. </w:t>
      </w:r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Rouse v. Great Atlantic &amp; Pacific Tea Co.</w:t>
      </w:r>
      <w:r w:rsidR="00E343A3"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Inc.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216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Va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293, 217 S.E. 2d 891 (1975); Plaintiff who sustained injuries when 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fell on ice and snow on the curbing in front of grocery store in shopping center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on date of accident, </w:t>
      </w:r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Kings Markets, Inc. v. </w:t>
      </w:r>
      <w:proofErr w:type="spellStart"/>
      <w:r w:rsidRPr="00CD73C4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Yeatts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226 Va. 174, 307 S.E. 2d 249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(1983), could not be said, as a matter of law, to be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contributorily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negligent in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exiting the premises where the store was open for business and the store had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made some effort to clear snow and ice from its parking lot and premises it used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and it was inviting customers to park their vehicles and to enter and depart its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store in the usual and customary manner. In this case, the Court stated that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Plaintiff had successfully negotiated his entrance to the store, and had no reason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to believe he could not safely exit.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C566AB" w:rsidRDefault="00CD73C4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Cs w:val="24"/>
        </w:rPr>
        <w:tab/>
      </w:r>
      <w:proofErr w:type="gramStart"/>
      <w:r>
        <w:rPr>
          <w:rFonts w:ascii="Times New Roman" w:eastAsiaTheme="minorHAnsi" w:hAnsi="Times New Roman" w:cs="Times New Roman"/>
          <w:bCs/>
          <w:color w:val="000000"/>
          <w:szCs w:val="24"/>
        </w:rPr>
        <w:t>f</w:t>
      </w:r>
      <w:proofErr w:type="gramEnd"/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 </w:t>
      </w:r>
      <w:r w:rsidR="009B1385"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Private Grounds In General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: 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Homeowners were not guilty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negligence in connection with business invitee’s fall while attempting to ascend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their driveway. The Court noted that the homeowner testified that he had added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sand to driveway sealant to change its texture and increase the traction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surface of pavement in accordance with the manufacturer’s recommendations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and that the homeowner provided a staircase with a handrail leading directly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front door so that visiting pedestrians would not have to climb steep driveway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designed for motorists. </w:t>
      </w:r>
      <w:proofErr w:type="gram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Runyon v. 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Geldner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237 Va. 460, 377 S.E. 2d 456 (1989).</w:t>
      </w:r>
      <w:proofErr w:type="gramEnd"/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C566AB" w:rsidRDefault="00C566A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Cs w:val="24"/>
        </w:rPr>
        <w:tab/>
        <w:t>f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 </w:t>
      </w:r>
      <w:r w:rsidR="009B1385"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Buildings </w:t>
      </w:r>
      <w:proofErr w:type="gramStart"/>
      <w:r w:rsidR="009B1385"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And</w:t>
      </w:r>
      <w:proofErr w:type="gramEnd"/>
      <w:r w:rsidR="009B1385"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Other Structures: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Under Virginia law, the duty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owner or occupier of premises to use reasonable care to maintain floor in a safe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condition for the safety of invitees applies, even where someone other than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employee of an establishment has caused foreign substances or objects to be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spilled, dropped or placed on the floor. </w:t>
      </w:r>
      <w:proofErr w:type="spellStart"/>
      <w:proofErr w:type="gram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Gauldin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Virginia Winn-Dixie, Inc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370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F.2d 167 (1966).</w:t>
      </w:r>
      <w:proofErr w:type="gramEnd"/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C566AB" w:rsidRDefault="00C566A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Cs w:val="24"/>
        </w:rPr>
        <w:tab/>
        <w:t>g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 </w:t>
      </w:r>
      <w:r w:rsidR="009B1385"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Duty of Pedestrian to Look Down</w:t>
      </w:r>
      <w:r w:rsidR="009B1385"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: 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Plaintiff was guilty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contributory negligence, as a matter of law, in failing to look and, therefore, see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an obvious depression in the parking lot surface.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Rocky Mount Shopping Center</w:t>
      </w:r>
      <w:r w:rsidR="00E343A3"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Assoc. v. 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Steagall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235 Va. 636, 369 S.E. 2d 193 (1988); When a Plaintiff knows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existence of a condition but, without any reasonable excuse, forgets about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condition and falls in, off, or over it, he is guilty of contributory negligence as a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matter of law. </w:t>
      </w:r>
      <w:proofErr w:type="gram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Scott v. City of Lynchburg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241 Va. 64, 399 S.E. 2d 809 (1991).</w:t>
      </w:r>
      <w:proofErr w:type="gramEnd"/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C566AB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C566AB">
        <w:rPr>
          <w:rFonts w:ascii="Times New Roman" w:eastAsiaTheme="minorHAnsi" w:hAnsi="Times New Roman" w:cs="Times New Roman"/>
          <w:b/>
          <w:bCs/>
          <w:color w:val="000000"/>
          <w:szCs w:val="24"/>
        </w:rPr>
        <w:t>II. INDEMNITY HOLD HARMLESS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C566AB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C566AB">
        <w:rPr>
          <w:rFonts w:ascii="Times New Roman" w:eastAsiaTheme="minorHAnsi" w:hAnsi="Times New Roman" w:cs="Times New Roman"/>
          <w:b/>
          <w:bCs/>
          <w:color w:val="000000"/>
          <w:szCs w:val="24"/>
        </w:rPr>
        <w:t>A. MARYLAND</w:t>
      </w:r>
    </w:p>
    <w:p w:rsidR="009340F2" w:rsidRPr="009B1385" w:rsidRDefault="009340F2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By statute, Maryland has imposed limitations on indemnity agreements.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="00C566AB">
        <w:rPr>
          <w:rFonts w:ascii="Times New Roman" w:eastAsiaTheme="minorHAnsi" w:hAnsi="Times New Roman" w:cs="Times New Roman"/>
          <w:bCs/>
          <w:color w:val="000000"/>
          <w:szCs w:val="24"/>
        </w:rPr>
        <w:t>S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ection 5-305 of the Courts and Judicial Proceedings Section of the Maryland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Code states that indemnity agreements “relating to the construction,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alternations, repair or maintenance of building, structure, appurtenance or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appliance” which purport to indemnify the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promisee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against liability for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damages arising out of bodily injury to any person, or damage to property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caused by or resulting from the sole negligence of the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promisee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or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indemnitee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his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agents or employees is against public policy and is void and unenforceable.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Thus, it would be void as against public policy for a condominium association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to attempt to indemnify itself against its own negligence, or the negligence of its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agents or employees in an agreement with a third party contractor. Where an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indemnity clause only indemnifies an owner for liability arising from a subcontractor’s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negligence and in no way seeks to indemnify against an owner’s own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negligence, section 5-305 does not apply and the agreement is enforceable. </w:t>
      </w:r>
      <w:proofErr w:type="gram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Mason</w:t>
      </w:r>
      <w:r w:rsidR="00E343A3"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v. Callas Contractors, Inc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494 F. Supp. 782.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Indemnity contract provisions must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be carefully drawn to avoid running afoul of the public policy provisions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section 5-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305,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as such clauses are interpreted against the party which prepared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the clause. </w:t>
      </w:r>
      <w:proofErr w:type="spellStart"/>
      <w:proofErr w:type="gram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Companio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Anonima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Venzolana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De 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Navegacion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Cottman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Co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145 F.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Supp. 761.</w:t>
      </w:r>
      <w:proofErr w:type="gramEnd"/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Moreover, the Courts have held that section 5-305 will not void an entire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indemnity contract, but rather renders void and unenforceable that section of an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agreement which purports to indemnify a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promisee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against liability for damages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caused by a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promisee’s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sole negligence. If, however, the contract can be properly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construed as reflecting two agreements, one providing for indemnity if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promisee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is solely negligent and one providing for indemnity if the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promisee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and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promisor are concurrently negligent, only the former agreement is voided by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statute.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Bethlehem Steel Corp. v. G.C. 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Zarnas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and Co., Inc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.,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498 A.2d 605,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304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Md. 183, Md. 1985. In light of the above-stated statutory and case law, any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indemnification agreement which intends to hold the contractor liable for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condominium’s negligence must be carefully drafted to provide indemnification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only in cases where there is concurrent negligence of the contractor and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condominium.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Aside from the limitation on indemnifying against the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indemnitee’s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negligence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 certain contracts expressed in section 5-305, indemnity contracts are lawful in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Maryland. Outside of the scope of section 5-305, an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indemnitee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is permitted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contract for indemnification even for its own negligence; however, such intent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must be clear and unambiguous from the language of the indemnification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contract.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Crockett v. Crothers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254 Md. 222, 285 A.2d 612 (1972) and expenses,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attorney’s fees and costs are allowable as items of damages in an indemnity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action.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Davis v. 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Naviera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Aznar, S.A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.,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37 F.R.D. 223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C566AB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C566AB">
        <w:rPr>
          <w:rFonts w:ascii="Times New Roman" w:eastAsiaTheme="minorHAnsi" w:hAnsi="Times New Roman" w:cs="Times New Roman"/>
          <w:b/>
          <w:bCs/>
          <w:color w:val="000000"/>
          <w:szCs w:val="24"/>
        </w:rPr>
        <w:t>II. INDEMNITY HOLD HARMLESS</w:t>
      </w:r>
    </w:p>
    <w:p w:rsidR="00FB0E8B" w:rsidRPr="00C566AB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</w:p>
    <w:p w:rsidR="009B1385" w:rsidRPr="00C566AB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C566AB">
        <w:rPr>
          <w:rFonts w:ascii="Times New Roman" w:eastAsiaTheme="minorHAnsi" w:hAnsi="Times New Roman" w:cs="Times New Roman"/>
          <w:b/>
          <w:bCs/>
          <w:color w:val="000000"/>
          <w:szCs w:val="24"/>
        </w:rPr>
        <w:t>B. DISTRICT OF COLUMBIA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There are no special provisions in the District of Columbia Code pertaining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indemnification and hold harmless agreements for outside services provided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condominiums.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general case law of the District of Columbia with respect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indemnification clauses is that indemnification is a form of relief available in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District of Columbia, and may be provided for by contract. Such clauses are not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void as against public policy 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Cokas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Perkins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252 F. Supp. 563 (D.C. 1966).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Where one party agrees to indemnify a second party from claims and suits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arising out of the first party’s performance of a contract, the first party must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bear ultimate liability injured third parties, whether or not the second party was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also liable. </w:t>
      </w:r>
      <w:proofErr w:type="spellStart"/>
      <w:proofErr w:type="gram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Lesmark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, Inc. v. Pryce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334 F.2d 942 (D.C. 1964).</w:t>
      </w:r>
      <w:proofErr w:type="gramEnd"/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Courts in the District of Columbia have developed a very broad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interpretation of indemnity provisions and have held that an indemnity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agreement in a subcontract which provided for indemnity for losses imposed by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law on general contractor for damages whether or not due to any negligence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sub-contractor, his employees, his agents or servants required the subcontractor,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his employees, his agents or servants required the sub-contractor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indemnify the general contractor for losses caused by the sole negligence of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contractor itself.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Bland v. L’Enfant Plaza North, Inc., 473 F.2d 156 (D.C. Cir.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1972).</w:t>
      </w:r>
      <w:proofErr w:type="gramEnd"/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Furthermore, a sub-contractor’s agreement to indemnify a general contractor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against any and all loss on account of any claim, demand or suit by or on behalf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of any employee of a subcontractor was sufficient to indemnify the general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contractor for its own affirmative negligence,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Moses-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Ecco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Co. v. Roscoe-Ajax</w:t>
      </w:r>
      <w:r w:rsidR="00E343A3"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Corp.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, 320 F.2d 685 (D.C. Cir 1963).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Despite the above-cited cases, which give broad interpretation to indemnity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agreements, the D.C. Courts have held that the intent to cover losses incurred by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an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indemnitee’s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negligence must plainly appear from the language in an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indemnity agreement if the agreement does not specifically refer to such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losses.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Moses-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Ecco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Co. v. Roscoe-Ajax Corp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.,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320 F.2d 685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 However, the courts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have held that an indemnity agreement may be so broad that although it contains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no express stipulation indemnifying against a party’s own negligence it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accomplishes the same purpose.</w:t>
      </w:r>
      <w:r w:rsidR="00C566AB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</w:t>
      </w:r>
      <w:proofErr w:type="spellStart"/>
      <w:proofErr w:type="gram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Princemont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Const. Corp. v. B&amp;O Railroad Co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131 A.2d 877 (D.C. App. 1957).</w:t>
      </w:r>
      <w:proofErr w:type="gramEnd"/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These views are in line with the now prevailing general rule which rejects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position that an indemnity contract purporting to absolve the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indemnitee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for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liability for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his own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negligence is void as against public policy. General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contractors may contract for indemnity against their own negligence, provided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the contract makes is sufficiently clear that the parties so intended.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41 Am.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Jur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proofErr w:type="gramEnd"/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2d.section 10, p. 696.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With respect to the exemplar of the indemnification agreement provided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(attached as Exhibit #1), it appears that the agreement would easily pass muster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under D.C. law. The indemnification agreement provides that the contractor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hold the condominium harmless and indemnify it against all actions of whatever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nature, including actions arising from the contractors own negligence. While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agreement does not specifically state that the contractor shall indemnify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condominium against the condominium’s own negligence, under the Court’s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rulings in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Moses-</w:t>
      </w:r>
      <w:proofErr w:type="spellStart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Ecco</w:t>
      </w:r>
      <w:proofErr w:type="spellEnd"/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v. Roscoe-Ajax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</w:t>
      </w:r>
      <w:r w:rsidRPr="00C566AB">
        <w:rPr>
          <w:rFonts w:ascii="Times New Roman" w:eastAsiaTheme="minorHAnsi" w:hAnsi="Times New Roman" w:cs="Times New Roman"/>
          <w:bCs/>
          <w:i/>
          <w:color w:val="000000"/>
          <w:szCs w:val="24"/>
        </w:rPr>
        <w:t>supra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and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Prince Mount Construction</w:t>
      </w:r>
      <w:r w:rsidR="00E343A3"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 xml:space="preserve"> </w:t>
      </w:r>
      <w:r w:rsidRPr="00C566AB">
        <w:rPr>
          <w:rFonts w:ascii="Times New Roman" w:eastAsiaTheme="minorHAnsi" w:hAnsi="Times New Roman" w:cs="Times New Roman"/>
          <w:bCs/>
          <w:color w:val="000000"/>
          <w:szCs w:val="24"/>
          <w:u w:val="single"/>
        </w:rPr>
        <w:t>Corp. v. Bro. R.R. Co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., the language in the agreement which indemnifies the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condominium against “any and all claims whatsoever” may be broad enough to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encompass indemnification even for the condominium’s own negligence.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However, since such indemnification is not void as against public policy in D.C.,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the better practice would be to specifically include such coverage, if in fact it is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desired.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CB5F51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>II. INDEMNITY HOLD HARMLESS</w:t>
      </w:r>
    </w:p>
    <w:p w:rsidR="00FB0E8B" w:rsidRPr="00CB5F51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</w:p>
    <w:p w:rsidR="009B1385" w:rsidRPr="00CB5F51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>C. VIRGINIA</w:t>
      </w:r>
    </w:p>
    <w:p w:rsidR="009B1385" w:rsidRPr="00CB5F51" w:rsidRDefault="00CB5F51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ab/>
        <w:t>1</w:t>
      </w:r>
      <w:r w:rsidR="009B1385"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>. Validity of Hold Harmless/Indemnification Agreements in Virginia</w:t>
      </w:r>
    </w:p>
    <w:p w:rsidR="00CB5F51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 Virginia, indemnification contracts and/or contracts including Hold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Harmless Agreements whereby one entity agrees to 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indemnify,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defend and hold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harmless another entity or individual against any and all claims, suits,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judgments, damages or causes of action of any kind, nature or description are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recognized and generally upheld. Virginia recognizes the right to indemnity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which is defined as a bilateral agreement between an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indemnitor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and an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indemnitee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, in which the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indemnitor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promises to reimburse the </w:t>
      </w:r>
      <w:proofErr w:type="spell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indemnitee</w:t>
      </w:r>
      <w:proofErr w:type="spellEnd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for a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loss suffered or to see him harmless from liability</w:t>
      </w:r>
      <w:proofErr w:type="gramStart"/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bCs/>
          <w:color w:val="0000FF"/>
          <w:szCs w:val="24"/>
        </w:rPr>
        <w:t xml:space="preserve">19]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Under Virginia law,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parties to a contract can contract for indemnification as well as any other type of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bCs/>
          <w:color w:val="000000"/>
          <w:szCs w:val="24"/>
        </w:rPr>
        <w:t>provision as long as it is not against Virginia Public Policy.</w:t>
      </w:r>
      <w:r w:rsidR="00E343A3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  </w:t>
      </w:r>
    </w:p>
    <w:p w:rsidR="00CB5F51" w:rsidRDefault="00CB5F51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FB0E8B" w:rsidRPr="00CB5F51" w:rsidRDefault="00CB5F51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Cs w:val="24"/>
        </w:rPr>
        <w:tab/>
      </w:r>
      <w:r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>2</w:t>
      </w:r>
      <w:r w:rsidR="009B1385"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 xml:space="preserve">. </w:t>
      </w:r>
      <w:r>
        <w:rPr>
          <w:rFonts w:ascii="Times New Roman" w:eastAsiaTheme="minorHAnsi" w:hAnsi="Times New Roman" w:cs="Times New Roman"/>
          <w:b/>
          <w:bCs/>
          <w:color w:val="000000"/>
          <w:szCs w:val="24"/>
        </w:rPr>
        <w:tab/>
      </w:r>
      <w:r w:rsidR="009B1385"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>The Validity of the Addendum Containing a Hold Harmless</w:t>
      </w:r>
      <w:r w:rsidR="00FB0E8B"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 xml:space="preserve"> </w:t>
      </w:r>
      <w:r w:rsidR="009B1385"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 xml:space="preserve">Agreement for </w:t>
      </w:r>
      <w:r>
        <w:rPr>
          <w:rFonts w:ascii="Times New Roman" w:eastAsiaTheme="minorHAnsi" w:hAnsi="Times New Roman" w:cs="Times New Roman"/>
          <w:b/>
          <w:bCs/>
          <w:color w:val="000000"/>
          <w:szCs w:val="24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Cs w:val="24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Cs w:val="24"/>
        </w:rPr>
        <w:tab/>
      </w:r>
      <w:r w:rsidR="009B1385"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>Outside Services Provided to Condominiums</w:t>
      </w:r>
      <w:r w:rsidR="00E343A3" w:rsidRPr="00CB5F51">
        <w:rPr>
          <w:rFonts w:ascii="Times New Roman" w:eastAsiaTheme="minorHAnsi" w:hAnsi="Times New Roman" w:cs="Times New Roman"/>
          <w:b/>
          <w:bCs/>
          <w:color w:val="000000"/>
          <w:szCs w:val="24"/>
        </w:rPr>
        <w:t xml:space="preserve">. 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FF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The Addendum Agreement (Exhibit #1) by and between the condominium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contractor and the condominium owner/shareholders, partners, agents, servants or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employees of the owner, inclusive of any members tenants, guests or licensees or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invitees of the condominium, is an acceptable contractual Addendum under Virginia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law. The Addendum Agreement does not contain any language which is against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Virginia Public Policy. Moreover, Virginia recognizes a property owner’s rights to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engage in such contractual indemnification and/or hold harmless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clauses</w:t>
      </w:r>
      <w:proofErr w:type="gram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.</w:t>
      </w:r>
      <w:r w:rsidRPr="009B1385">
        <w:rPr>
          <w:rFonts w:ascii="Times New Roman" w:eastAsiaTheme="minorHAnsi" w:hAnsi="Times New Roman" w:cs="Times New Roman"/>
          <w:color w:val="0000FF"/>
          <w:szCs w:val="24"/>
        </w:rPr>
        <w:t>[</w:t>
      </w:r>
      <w:proofErr w:type="gramEnd"/>
      <w:r w:rsidRPr="009B1385">
        <w:rPr>
          <w:rFonts w:ascii="Times New Roman" w:eastAsiaTheme="minorHAnsi" w:hAnsi="Times New Roman" w:cs="Times New Roman"/>
          <w:color w:val="0000FF"/>
          <w:szCs w:val="24"/>
        </w:rPr>
        <w:t xml:space="preserve">20]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Moreover, the Addendum which contains language whereby the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contractor agrees to indemnify the owners, its agents, etc... </w:t>
      </w:r>
      <w:proofErr w:type="gram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including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any and all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costs, attorney’s fees and expenses arising out of any such claims, suits, judgments,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damages, causes of action, etc. will also be upheld under Virginia law. In Virginia, an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indemnity agreement or provision under which the contractor agrees to pay the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owner’s attorney’s fees is not against public policy and will be upheld.</w:t>
      </w:r>
      <w:r w:rsidRPr="009B1385">
        <w:rPr>
          <w:rFonts w:ascii="Times New Roman" w:eastAsiaTheme="minorHAnsi" w:hAnsi="Times New Roman" w:cs="Times New Roman"/>
          <w:color w:val="0000FF"/>
          <w:szCs w:val="24"/>
        </w:rPr>
        <w:t xml:space="preserve">[21]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Moreover,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in Virginia an owner of property may lawfully contract to indemnify itself against its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own negligence without offending public policy where the terms are clear and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explicit.</w:t>
      </w:r>
      <w:r w:rsidRPr="009B1385">
        <w:rPr>
          <w:rFonts w:ascii="Times New Roman" w:eastAsiaTheme="minorHAnsi" w:hAnsi="Times New Roman" w:cs="Times New Roman"/>
          <w:color w:val="0000FF"/>
          <w:szCs w:val="24"/>
        </w:rPr>
        <w:t>[22]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FF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There exists also in Virginia a Condominium Act found in Volume 8 (1996) of the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Virginia Code, Section 55.79.40 through 55.79.97. Under 55.79.80:1, there is a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Condominium Act Statute entitled Tort and Contract Liability; Judgment Lien. One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should be aware that this section gives a unit owner a cause or right of action against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the declarant or the Condominium Association for torts alleging wrongs done (I) the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agents/employees of declarant/unit owners’ association or (ii) in connection with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condition of any portion of the condominium which the declarant or the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Condominium Association has the “responsibility to maintain.” Although this section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does not give the unit owners a cause or right of action for such torts, it does not say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that the Condominium Association is prohibited from delegating any responsibility to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maintain any of its areas within its province such as the common areas. </w:t>
      </w:r>
      <w:proofErr w:type="gram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Therefore, if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the Condominium Association is prohibited from delegating any responsibility to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maintain any of its areas within its province such as the common areas.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Therefore, if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the Condominium Association does not contract with an independent contractor and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the contract contains an Addendum clause similar to the Addendum provided herein,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then the hold harmless/indemnification clause would still be valid and would not</w:t>
      </w:r>
      <w:r w:rsidR="00E343A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contravene 55.79.80:1 of the Virginia Condominium Act.</w:t>
      </w:r>
    </w:p>
    <w:p w:rsidR="0049492E" w:rsidRDefault="0049492E">
      <w:pPr>
        <w:rPr>
          <w:rFonts w:ascii="Times New Roman" w:eastAsiaTheme="minorHAnsi" w:hAnsi="Times New Roman" w:cs="Times New Roman"/>
          <w:color w:val="000000"/>
          <w:szCs w:val="24"/>
        </w:rPr>
      </w:pPr>
      <w:r>
        <w:rPr>
          <w:rFonts w:ascii="Times New Roman" w:eastAsiaTheme="minorHAnsi" w:hAnsi="Times New Roman" w:cs="Times New Roman"/>
          <w:color w:val="000000"/>
          <w:szCs w:val="24"/>
        </w:rPr>
        <w:br w:type="page"/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</w:p>
    <w:p w:rsidR="009B1385" w:rsidRPr="0049492E" w:rsidRDefault="009B1385" w:rsidP="008F429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49492E">
        <w:rPr>
          <w:rFonts w:ascii="Times New Roman" w:eastAsiaTheme="minorHAnsi" w:hAnsi="Times New Roman" w:cs="Times New Roman"/>
          <w:b/>
          <w:bCs/>
          <w:color w:val="000000"/>
          <w:szCs w:val="24"/>
        </w:rPr>
        <w:t>ADDENDUM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This addendum made this ___________ day of _____________, between</w:t>
      </w:r>
      <w:r w:rsidR="008F4293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__________</w:t>
      </w:r>
      <w:proofErr w:type="gram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_(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>Contractor) and ___________(Agent) for ______________(Owner).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This document shall be an Addendum to that certain Agreement between the</w:t>
      </w:r>
      <w:r w:rsidR="0049492E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parties hereto dated the __________ day of _____________, 19___.</w:t>
      </w: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To the </w:t>
      </w:r>
      <w:proofErr w:type="spell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extend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that this Addendum shall be in conflict with any provision of</w:t>
      </w:r>
      <w:r w:rsidR="0049492E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the aforesaid agreement, the provisions of this Addendum shall prevail, and</w:t>
      </w:r>
      <w:r w:rsidR="0049492E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be binding upon the parties who do hereby affirm the provisions of this</w:t>
      </w:r>
      <w:r w:rsidR="0049492E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Agreement of _____ day of ______________, 19___.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</w:p>
    <w:p w:rsid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By Acceptance of this contract Addendum, the contractor represents that he </w:t>
      </w:r>
      <w:proofErr w:type="gram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is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an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independent contractor. The contractor agrees to indemnify, defend, and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hold harmless the property manager, its officers, agents, servants,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employees,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successors and assigns, and further agrees to indemnify, hold harmless, and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defend the owner, and any shareholders, partners, agents, servants or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employees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of the owner, as well as any members, tenants, guests, licensees and invitees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thereof from and against any and all claims, suits, judgment damages, or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causes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of action of any kind, nature or description whatsoever, including any and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all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costs, </w:t>
      </w:r>
      <w:proofErr w:type="spell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attorneys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fees and expenses arising from any such claims, suits,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judgments, damages causes of action, or from the contractor’s performance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of this contract by any of the contractor’s officers, shareholders, agents,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servants, employees, guests, subcontractors, invitees and those doing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business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with the contractor or any subcontractor.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Wherever and whenever in the Contract or Agreement to which this Addendum </w:t>
      </w:r>
      <w:proofErr w:type="gram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is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attached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>, there is a provision requiring Agent or Owner to indemnify, defend,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or hold harmless the Contractor, as the case </w:t>
      </w:r>
      <w:proofErr w:type="spell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my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be, shall be deemed to have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been deleted and to be null and void, and any provisions of this Addendum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shall, when in conflict with any provision of the Contract or Agreement, take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precedence over and supersede such conflicting provision, or any part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thereof.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______________________ Contractor ________________________Owner/Agent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______________________ Date _________________________ </w:t>
      </w:r>
      <w:proofErr w:type="spell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Date</w:t>
      </w:r>
      <w:proofErr w:type="spellEnd"/>
    </w:p>
    <w:p w:rsidR="00FB0E8B" w:rsidRDefault="00FB0E8B" w:rsidP="00FB0E8B">
      <w:pPr>
        <w:spacing w:line="360" w:lineRule="auto"/>
        <w:rPr>
          <w:rFonts w:ascii="Times New Roman" w:eastAsiaTheme="minorHAnsi" w:hAnsi="Times New Roman" w:cs="Times New Roman"/>
          <w:bCs/>
          <w:color w:val="000000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Cs w:val="24"/>
        </w:rPr>
        <w:br w:type="page"/>
      </w:r>
    </w:p>
    <w:p w:rsidR="009B1385" w:rsidRPr="0049492E" w:rsidRDefault="0049492E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Cs w:val="24"/>
        </w:rPr>
      </w:pPr>
      <w:r w:rsidRPr="0049492E">
        <w:rPr>
          <w:rFonts w:ascii="Times New Roman" w:eastAsiaTheme="minorHAnsi" w:hAnsi="Times New Roman" w:cs="Times New Roman"/>
          <w:b/>
          <w:bCs/>
          <w:color w:val="000000"/>
          <w:szCs w:val="24"/>
        </w:rPr>
        <w:t>ENDNOTES:</w:t>
      </w:r>
    </w:p>
    <w:p w:rsidR="00FB0E8B" w:rsidRPr="009B1385" w:rsidRDefault="00FB0E8B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Cs w:val="24"/>
        </w:rPr>
      </w:pP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[1]</w:t>
      </w:r>
      <w:proofErr w:type="spellStart"/>
      <w:proofErr w:type="gramStart"/>
      <w:r w:rsidRPr="0049492E">
        <w:rPr>
          <w:rFonts w:ascii="Times New Roman" w:eastAsiaTheme="minorHAnsi" w:hAnsi="Times New Roman" w:cs="Times New Roman"/>
          <w:color w:val="000000"/>
          <w:szCs w:val="24"/>
          <w:u w:val="single"/>
        </w:rPr>
        <w:t>Washbaugh</w:t>
      </w:r>
      <w:proofErr w:type="spellEnd"/>
      <w:r w:rsidRPr="0049492E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v. Northern Va.</w:t>
      </w:r>
      <w:r w:rsidR="00F60B5B" w:rsidRPr="0049492E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</w:t>
      </w:r>
      <w:proofErr w:type="spellStart"/>
      <w:r w:rsidRPr="0049492E">
        <w:rPr>
          <w:rFonts w:ascii="Times New Roman" w:eastAsiaTheme="minorHAnsi" w:hAnsi="Times New Roman" w:cs="Times New Roman"/>
          <w:color w:val="000000"/>
          <w:szCs w:val="24"/>
          <w:u w:val="single"/>
        </w:rPr>
        <w:t>Construc</w:t>
      </w:r>
      <w:proofErr w:type="spellEnd"/>
      <w:r w:rsidRPr="0049492E">
        <w:rPr>
          <w:rFonts w:ascii="Times New Roman" w:eastAsiaTheme="minorHAnsi" w:hAnsi="Times New Roman" w:cs="Times New Roman"/>
          <w:color w:val="000000"/>
          <w:szCs w:val="24"/>
          <w:u w:val="single"/>
        </w:rPr>
        <w:t>.</w:t>
      </w:r>
      <w:proofErr w:type="gramEnd"/>
      <w:r w:rsidRPr="0049492E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</w:t>
      </w:r>
      <w:proofErr w:type="gramStart"/>
      <w:r w:rsidRPr="0049492E">
        <w:rPr>
          <w:rFonts w:ascii="Times New Roman" w:eastAsiaTheme="minorHAnsi" w:hAnsi="Times New Roman" w:cs="Times New Roman"/>
          <w:color w:val="000000"/>
          <w:szCs w:val="24"/>
          <w:u w:val="single"/>
        </w:rPr>
        <w:t>Co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., 187 Va. 767, 48 S.E. 2d 276 (1948); </w:t>
      </w:r>
      <w:r w:rsidRPr="0049492E">
        <w:rPr>
          <w:rFonts w:ascii="Times New Roman" w:eastAsiaTheme="minorHAnsi" w:hAnsi="Times New Roman" w:cs="Times New Roman"/>
          <w:color w:val="000000"/>
          <w:szCs w:val="24"/>
          <w:u w:val="single"/>
        </w:rPr>
        <w:t>Tazewell Supply Co.</w:t>
      </w:r>
      <w:r w:rsidR="00F60B5B" w:rsidRPr="0049492E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</w:t>
      </w:r>
      <w:r w:rsidRPr="0049492E">
        <w:rPr>
          <w:rFonts w:ascii="Times New Roman" w:eastAsiaTheme="minorHAnsi" w:hAnsi="Times New Roman" w:cs="Times New Roman"/>
          <w:color w:val="000000"/>
          <w:szCs w:val="24"/>
          <w:u w:val="single"/>
        </w:rPr>
        <w:t>Tuner,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213 Va. 93, 189 S.E. 2d 347 (1972).</w:t>
      </w:r>
      <w:proofErr w:type="gramEnd"/>
    </w:p>
    <w:p w:rsidR="00F60B5B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[2]</w:t>
      </w:r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Runyon v.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Geldner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, 237 </w:t>
      </w:r>
      <w:proofErr w:type="spellStart"/>
      <w:proofErr w:type="gram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Va</w:t>
      </w:r>
      <w:proofErr w:type="spellEnd"/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460, 377 S.E. 2d 456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(1989). “Premises” includes equipment and other items on the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premises.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[3]</w:t>
      </w:r>
      <w:proofErr w:type="spellStart"/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Memco</w:t>
      </w:r>
      <w:proofErr w:type="spellEnd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Stores, Inc. v.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Yeatman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>, 232 Va. 50, 348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S.E. 2d 228 (1986).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[4]</w:t>
      </w:r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Reagan v. Perez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215 Va. 325, 209 S.E. 2d 901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(1974).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[5]</w:t>
      </w:r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Bush v.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Gaglio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>, 207 Va. 343, 150 S.E. 2d 110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(1966); </w:t>
      </w:r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Reagan v. Perez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215 Va. 325, 209 S.E. 2d 901 (1974).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An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occupant or premises always owes a duty to a licensee not to injure him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wantonly or intentionally.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[6]</w:t>
      </w:r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APCO v.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LaForce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>, 214 Va. 438, 201 S.E. 2d 768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(1974).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An invitee, while using the premises in a way that exceeds the scope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of the occupant’s invitation to him, ceases to be an invitee and becomes a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trespasser. </w:t>
      </w:r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City of Suffolk v. Hewitt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226 Va., 20, 307 S.E. 2d 444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(1983).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[7]</w:t>
      </w:r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Walker v. Memorial Hospital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187 Va. 5, 48 S.E.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2d 898 (1948); </w:t>
      </w:r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FAD Ltd.,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Pt’ship</w:t>
      </w:r>
      <w:proofErr w:type="spellEnd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.</w:t>
      </w:r>
      <w:proofErr w:type="gramEnd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v.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Feagley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>, 237 Va. 413, 377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S.E. 2d 437 (1989); </w:t>
      </w:r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Mary Washington Hospital v. Gibson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228 Va. 95,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319 S.E. 2d 741 (1984). The Walker and Mary Washington Hospital case,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supra, explicitly states that the duty to clear ice and snow does not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arise until a reasonable time after the storm is over. The duty imposed to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remove natural accumulations of snow and ice within a reasonable length of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time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after the end of a storm is apparently limited to commercial establishments,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carriers, municipalities and landlords.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[8]</w:t>
      </w:r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John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Aragona</w:t>
      </w:r>
      <w:proofErr w:type="spellEnd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Enters v. Miller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213 Va. 298, 299,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191 S.E. 2d 804, 805 (1972). The duties and liabilities of the landlord to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guests and invitees of the tenant, with respect to personal injuries, are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ordinarily the same as those which the landlord owes to the tenant. “They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stand in the shoes of the tenant.” </w:t>
      </w:r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Oliver v.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Cashin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>, 192 Va. 540,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65 S.E. 2d 571 (1951).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Note: the common law duty of the Virginia Residential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Landlord and Tenant Act where a duty is imposed on the landlord to comply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with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the requirements of the applicable building and housing codes materially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affecting health and safety.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[9]</w:t>
      </w:r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Colonial Nat. Gas Co. v. Sayers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222 Va. 781,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284 S.E. 2d 599 (1981).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See also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Love v. Schmidt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239 Va. 357, 389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S.E. 2d 707 (1990) which held that a landlord’s duty to maintain the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premises cannot be delegated to an independent maintenance contractor.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[10]</w:t>
      </w:r>
      <w:proofErr w:type="spellStart"/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Revell</w:t>
      </w:r>
      <w:proofErr w:type="spellEnd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v.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Deegan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>, 192 Va. 428, 65 S.E. 2d 543</w:t>
      </w:r>
      <w:r w:rsidR="009572D4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(1951).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Moreover, as a general rule, a landlord does not owe a duty to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protect his tenants from a criminal act by third parties. An exception to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this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rule arises where a “special relationship,” such as an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innkeeper-guest or business proprietor-invite, or a statutory duty arises. A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landlord tenant relationship is not a “special relationship” giving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rise to such a duty to protect tenants from criminal acts of third parties.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 </w:t>
      </w:r>
      <w:proofErr w:type="gram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See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Klingbell</w:t>
      </w:r>
      <w:proofErr w:type="spellEnd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Mgt. Group Co. v. Vito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233 Va. 445, 357 S.E. 2d 200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(1987); </w:t>
      </w:r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Love v. Schmidt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239 Va. 357, 389 S.E. 2d 707 (1990).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[11]</w:t>
      </w:r>
      <w:proofErr w:type="spellStart"/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Kesler</w:t>
      </w:r>
      <w:proofErr w:type="spellEnd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v. Allen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233 Va. 130, 353 S.E. 2d 777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(1987).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[12]</w:t>
      </w:r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FAD Ltd.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Pt’ship</w:t>
      </w:r>
      <w:proofErr w:type="spellEnd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v. </w:t>
      </w:r>
      <w:proofErr w:type="spell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Feagley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>, 237 Va. 413,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377 S.E. 2d 437 (1989).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For an extensive analysis of an owner’s or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occupant’s liability for snow and ice accumulations of non-residential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property, see 95 A.L.R. 3d 15 (1979).</w:t>
      </w:r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[13]</w:t>
      </w:r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Ely v. Blevins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706 F.2d 479 (4th Cir. 1983).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[14]</w:t>
      </w:r>
      <w:proofErr w:type="gramStart"/>
      <w:r w:rsidRPr="009572D4">
        <w:rPr>
          <w:rFonts w:ascii="Times New Roman" w:eastAsiaTheme="minorHAnsi" w:hAnsi="Times New Roman" w:cs="Times New Roman"/>
          <w:color w:val="000000"/>
          <w:szCs w:val="24"/>
          <w:u w:val="single"/>
        </w:rPr>
        <w:t>Jones v. Meat Packers Equipment Co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., 723 F.2d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370 (C.A. Va. 1983).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[15]Exception to this rule is where the exposure to danger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was for the purpose of rescuing another from peril. </w:t>
      </w:r>
      <w:proofErr w:type="gramStart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Lassiter v.</w:t>
      </w:r>
      <w:r w:rsidR="00F60B5B"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</w:t>
      </w:r>
      <w:proofErr w:type="spellStart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Arinner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>, 235 Va. 274, 368 S.E. 2d 258 (1988).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[16]</w:t>
      </w:r>
      <w:proofErr w:type="spellStart"/>
      <w:proofErr w:type="gramStart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Litchford</w:t>
      </w:r>
      <w:proofErr w:type="spellEnd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v. Hancock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232 Va. 496, 352 S.E. 2d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335 (1987).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[17]</w:t>
      </w:r>
      <w:proofErr w:type="gramStart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Hubbard v. U.S.,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295 F. Supp. 524 (D.C. Va.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1969).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[18]</w:t>
      </w:r>
      <w:proofErr w:type="spellStart"/>
      <w:proofErr w:type="gramStart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Artrip</w:t>
      </w:r>
      <w:proofErr w:type="spellEnd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v. E.E. Berry Equipment Co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., 240 Va.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354, 397 S.E. 2d 821 (1990).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[19]</w:t>
      </w:r>
      <w:proofErr w:type="gramStart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First Virginia Bank - Colonial v. Baker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25 Va.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72, 301 S.E. 2d 8 (1983).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[20]</w:t>
      </w:r>
      <w:proofErr w:type="gramStart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Appalachian Power Co. v. Saunders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 232 Va.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189, 349 S.E. 2d 101 (1986).</w:t>
      </w:r>
      <w:proofErr w:type="gramEnd"/>
    </w:p>
    <w:p w:rsidR="009B1385" w:rsidRPr="009B1385" w:rsidRDefault="009B1385" w:rsidP="00FB0E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[21]</w:t>
      </w:r>
      <w:proofErr w:type="gramStart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Chesapeake and Potomac Telephone Co. of Virginia v.</w:t>
      </w:r>
      <w:r w:rsidR="00F60B5B"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</w:t>
      </w:r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Sisson &amp; Ryan, Inc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., 234 Va. 492, 362 S.E. 2d 723 (1987); </w:t>
      </w:r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Holly v.</w:t>
      </w:r>
      <w:proofErr w:type="gramEnd"/>
      <w:r w:rsidR="00F60B5B"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 </w:t>
      </w:r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 xml:space="preserve">The Manfred </w:t>
      </w:r>
      <w:proofErr w:type="spellStart"/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Stansfield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, 187 Fed. </w:t>
      </w:r>
      <w:proofErr w:type="gram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Supp. 805 (D.C. Va. 1960 - </w:t>
      </w:r>
      <w:bookmarkStart w:id="0" w:name="_GoBack"/>
      <w:bookmarkEnd w:id="0"/>
      <w:r w:rsidRPr="009B1385">
        <w:rPr>
          <w:rFonts w:ascii="Times New Roman" w:eastAsiaTheme="minorHAnsi" w:hAnsi="Times New Roman" w:cs="Times New Roman"/>
          <w:color w:val="000000"/>
          <w:szCs w:val="24"/>
        </w:rPr>
        <w:t>An indemnity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may recover attorney’s fees and expenses from an </w:t>
      </w:r>
      <w:proofErr w:type="spell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indemnitor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under either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an express or implied contract of indemnity.)</w:t>
      </w:r>
      <w:proofErr w:type="gramEnd"/>
    </w:p>
    <w:p w:rsidR="00CD0C2D" w:rsidRDefault="009B1385" w:rsidP="00F60B5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Cs w:val="24"/>
        </w:rPr>
      </w:pPr>
      <w:r w:rsidRPr="009B1385">
        <w:rPr>
          <w:rFonts w:ascii="Times New Roman" w:eastAsiaTheme="minorHAnsi" w:hAnsi="Times New Roman" w:cs="Times New Roman"/>
          <w:color w:val="000000"/>
          <w:szCs w:val="24"/>
        </w:rPr>
        <w:t>[22]</w:t>
      </w:r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Appalachian Power Co. v. Saunders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,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gramStart"/>
      <w:r w:rsidRPr="008F4293">
        <w:rPr>
          <w:rFonts w:ascii="Times New Roman" w:eastAsiaTheme="minorHAnsi" w:hAnsi="Times New Roman" w:cs="Times New Roman"/>
          <w:i/>
          <w:color w:val="000000"/>
          <w:szCs w:val="24"/>
        </w:rPr>
        <w:t>supra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.;</w:t>
      </w:r>
      <w:proofErr w:type="gram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8F4293">
        <w:rPr>
          <w:rFonts w:ascii="Times New Roman" w:eastAsiaTheme="minorHAnsi" w:hAnsi="Times New Roman" w:cs="Times New Roman"/>
          <w:color w:val="000000"/>
          <w:szCs w:val="24"/>
          <w:u w:val="single"/>
        </w:rPr>
        <w:t>U.S. v. Newport News Shipbuilding Co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>., 130 Fed. Supp.</w:t>
      </w:r>
      <w:r w:rsidR="00F60B5B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159, </w:t>
      </w:r>
      <w:proofErr w:type="spell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aff’d</w:t>
      </w:r>
      <w:proofErr w:type="spellEnd"/>
      <w:r w:rsidRPr="009B1385">
        <w:rPr>
          <w:rFonts w:ascii="Times New Roman" w:eastAsiaTheme="minorHAnsi" w:hAnsi="Times New Roman" w:cs="Times New Roman"/>
          <w:color w:val="000000"/>
          <w:szCs w:val="24"/>
        </w:rPr>
        <w:t xml:space="preserve"> 226 Fed. </w:t>
      </w:r>
      <w:proofErr w:type="gramStart"/>
      <w:r w:rsidRPr="009B1385">
        <w:rPr>
          <w:rFonts w:ascii="Times New Roman" w:eastAsiaTheme="minorHAnsi" w:hAnsi="Times New Roman" w:cs="Times New Roman"/>
          <w:color w:val="000000"/>
          <w:szCs w:val="24"/>
        </w:rPr>
        <w:t>2d 137 (D.C. Va. 1955).</w:t>
      </w:r>
      <w:proofErr w:type="gramEnd"/>
    </w:p>
    <w:p w:rsidR="008F4293" w:rsidRPr="009B1385" w:rsidRDefault="008F4293" w:rsidP="00F60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8F4293" w:rsidRPr="009B1385" w:rsidSect="00BE7807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07" w:rsidRDefault="00BE7807" w:rsidP="00BE7807">
      <w:r>
        <w:separator/>
      </w:r>
    </w:p>
  </w:endnote>
  <w:endnote w:type="continuationSeparator" w:id="0">
    <w:p w:rsidR="00BE7807" w:rsidRDefault="00BE7807" w:rsidP="00BE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88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807" w:rsidRDefault="00BE7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E7807" w:rsidRDefault="00BE7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07" w:rsidRDefault="00BE7807" w:rsidP="00BE7807">
      <w:r>
        <w:separator/>
      </w:r>
    </w:p>
  </w:footnote>
  <w:footnote w:type="continuationSeparator" w:id="0">
    <w:p w:rsidR="00BE7807" w:rsidRDefault="00BE7807" w:rsidP="00BE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A85"/>
    <w:multiLevelType w:val="hybridMultilevel"/>
    <w:tmpl w:val="CA86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C2E"/>
    <w:multiLevelType w:val="hybridMultilevel"/>
    <w:tmpl w:val="1C2A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132F"/>
    <w:multiLevelType w:val="hybridMultilevel"/>
    <w:tmpl w:val="BFA01846"/>
    <w:lvl w:ilvl="0" w:tplc="7032877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85"/>
    <w:rsid w:val="000248A8"/>
    <w:rsid w:val="000A2A5A"/>
    <w:rsid w:val="0010627F"/>
    <w:rsid w:val="00107DCF"/>
    <w:rsid w:val="0019260A"/>
    <w:rsid w:val="00411332"/>
    <w:rsid w:val="0049492E"/>
    <w:rsid w:val="004B7947"/>
    <w:rsid w:val="0052069D"/>
    <w:rsid w:val="00541851"/>
    <w:rsid w:val="00572E8F"/>
    <w:rsid w:val="00593699"/>
    <w:rsid w:val="005A5881"/>
    <w:rsid w:val="00682633"/>
    <w:rsid w:val="007E6E3D"/>
    <w:rsid w:val="00871382"/>
    <w:rsid w:val="00872922"/>
    <w:rsid w:val="008F4293"/>
    <w:rsid w:val="009340F2"/>
    <w:rsid w:val="009572D4"/>
    <w:rsid w:val="009B1385"/>
    <w:rsid w:val="00BE7807"/>
    <w:rsid w:val="00C566AB"/>
    <w:rsid w:val="00CB5F51"/>
    <w:rsid w:val="00CD0C2D"/>
    <w:rsid w:val="00CD73C4"/>
    <w:rsid w:val="00E343A3"/>
    <w:rsid w:val="00F32F8D"/>
    <w:rsid w:val="00F60B5B"/>
    <w:rsid w:val="00F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22"/>
    <w:rPr>
      <w:rFonts w:eastAsiaTheme="min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07"/>
    <w:rPr>
      <w:rFonts w:eastAsiaTheme="minorEastAsia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07"/>
    <w:rPr>
      <w:rFonts w:eastAsiaTheme="minorEastAsi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22"/>
    <w:rPr>
      <w:rFonts w:eastAsiaTheme="min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07"/>
    <w:rPr>
      <w:rFonts w:eastAsiaTheme="minorEastAsia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07"/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7434</Words>
  <Characters>42376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Saunders &amp; Schmieler</Company>
  <LinksUpToDate>false</LinksUpToDate>
  <CharactersWithSpaces>49711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Pazzelli</dc:creator>
  <cp:keywords/>
  <dc:description/>
  <cp:lastModifiedBy>Rita Pazzelli</cp:lastModifiedBy>
  <cp:revision>3</cp:revision>
  <dcterms:created xsi:type="dcterms:W3CDTF">2013-03-14T19:05:00Z</dcterms:created>
  <dcterms:modified xsi:type="dcterms:W3CDTF">2013-04-09T19:23:00Z</dcterms:modified>
</cp:coreProperties>
</file>